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2D2E" w14:textId="6CA31E6B" w:rsidR="00E9077E" w:rsidRPr="00B3102E" w:rsidRDefault="00D72055" w:rsidP="00E9077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ArialMT" w:hAnsi="Arial" w:cs="Arial"/>
          <w:b/>
          <w:bCs/>
          <w:sz w:val="27"/>
          <w:szCs w:val="27"/>
        </w:rPr>
        <w:t>Stoleček se špalíky</w:t>
      </w:r>
      <w:r>
        <w:rPr>
          <w:rFonts w:ascii="Arial" w:eastAsia="Times New Roman" w:hAnsi="Arial" w:cs="Arial"/>
          <w:sz w:val="24"/>
          <w:szCs w:val="24"/>
          <w:lang w:eastAsia="cs-CZ"/>
        </w:rPr>
        <w:pict w14:anchorId="13BCA2D8">
          <v:rect id="_x0000_i1025" style="width:0;height:1.5pt" o:hralign="center" o:hrstd="t" o:hr="t" fillcolor="#a0a0a0" stroked="f"/>
        </w:pict>
      </w:r>
    </w:p>
    <w:p w14:paraId="3C480725" w14:textId="05DF8644" w:rsidR="00B3102E" w:rsidRPr="001C6C3F" w:rsidRDefault="00B3102E" w:rsidP="00B3102E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Popis produktu</w:t>
      </w:r>
    </w:p>
    <w:p w14:paraId="42FCC2D0" w14:textId="77777777" w:rsidR="00EA2A01" w:rsidRPr="00EA2A01" w:rsidRDefault="00EA2A01" w:rsidP="00EA2A01">
      <w:pPr>
        <w:pStyle w:val="Normlnweb"/>
        <w:rPr>
          <w:rFonts w:ascii="Arial" w:hAnsi="Arial" w:cs="Arial"/>
        </w:rPr>
      </w:pPr>
      <w:r w:rsidRPr="00EA2A01">
        <w:rPr>
          <w:rFonts w:ascii="Arial" w:hAnsi="Arial" w:cs="Arial"/>
        </w:rPr>
        <w:t>Dětský stoleček s okolními sedacími špalíky vytváří klidovou herní zónu určenou pro odpočinek, tvořivé aktivity i sociální interakci dětí. Konstrukce umožňuje dětem usednout, kreslit, hrát si s pískem nebo jen společně trávit čas během hry na hřišti. Díky jednoduché a robustní konstrukci je prvek vhodný do veřejných parků, školních zahrad i dětských hřišť.</w:t>
      </w:r>
    </w:p>
    <w:p w14:paraId="75CA6CF8" w14:textId="77777777" w:rsidR="00EA2A01" w:rsidRPr="00EA2A01" w:rsidRDefault="00EA2A01" w:rsidP="00EA2A01">
      <w:pPr>
        <w:pStyle w:val="Normlnweb"/>
        <w:rPr>
          <w:rStyle w:val="relative"/>
          <w:rFonts w:ascii="Arial" w:hAnsi="Arial" w:cs="Arial"/>
        </w:rPr>
      </w:pPr>
      <w:r w:rsidRPr="00EA2A01">
        <w:rPr>
          <w:rFonts w:ascii="Arial" w:hAnsi="Arial" w:cs="Arial"/>
        </w:rPr>
        <w:t xml:space="preserve">Stoleček zároveň podporuje sociální kontakt mezi dětmi – společné sezení vytváří prostor pro komunikaci, spolupráci a sdílení herních aktivit. Sedací špalíky rozmístěné kolem stolu přirozeně vymezují prostor pro malé skupiny dětí. </w:t>
      </w:r>
    </w:p>
    <w:p w14:paraId="6CC8AAED" w14:textId="77777777" w:rsidR="00EA2A01" w:rsidRPr="00EA2A01" w:rsidRDefault="00EA2A01" w:rsidP="00EA2A01">
      <w:pPr>
        <w:rPr>
          <w:rFonts w:ascii="Arial" w:hAnsi="Arial" w:cs="Arial"/>
          <w:sz w:val="24"/>
          <w:szCs w:val="24"/>
        </w:rPr>
      </w:pPr>
      <w:r w:rsidRPr="00EA2A01">
        <w:rPr>
          <w:rFonts w:ascii="Arial" w:hAnsi="Arial" w:cs="Arial"/>
          <w:sz w:val="24"/>
          <w:szCs w:val="24"/>
        </w:rPr>
        <w:pict w14:anchorId="5CEC6674">
          <v:rect id="_x0000_i1034" style="width:0;height:1.5pt" o:hralign="center" o:hrstd="t" o:hr="t" fillcolor="#a0a0a0" stroked="f"/>
        </w:pict>
      </w:r>
    </w:p>
    <w:p w14:paraId="695247F2" w14:textId="0CA7916C" w:rsidR="00EA2A01" w:rsidRPr="00EA2A01" w:rsidRDefault="00EA2A01" w:rsidP="00EA2A01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EA2A01">
        <w:rPr>
          <w:rFonts w:ascii="Arial" w:hAnsi="Arial" w:cs="Arial"/>
          <w:b/>
          <w:bCs/>
          <w:color w:val="auto"/>
          <w:sz w:val="24"/>
          <w:szCs w:val="24"/>
        </w:rPr>
        <w:t>Herní aktivity</w:t>
      </w:r>
    </w:p>
    <w:p w14:paraId="149F06E1" w14:textId="77777777" w:rsidR="00EA2A01" w:rsidRPr="00EA2A01" w:rsidRDefault="00EA2A01" w:rsidP="00EA2A01">
      <w:pPr>
        <w:pStyle w:val="Normlnweb"/>
        <w:rPr>
          <w:rFonts w:ascii="Arial" w:hAnsi="Arial" w:cs="Arial"/>
        </w:rPr>
      </w:pPr>
      <w:r w:rsidRPr="00EA2A01">
        <w:rPr>
          <w:rStyle w:val="Siln"/>
          <w:rFonts w:ascii="Arial" w:hAnsi="Arial" w:cs="Arial"/>
        </w:rPr>
        <w:t>Posezení a odpočinek</w:t>
      </w:r>
      <w:r w:rsidRPr="00EA2A01">
        <w:rPr>
          <w:rFonts w:ascii="Arial" w:hAnsi="Arial" w:cs="Arial"/>
        </w:rPr>
        <w:br/>
        <w:t>Stoleček poskytuje prostor pro odpočinek během hry. Děti zde mohou sedět, pozorovat dění na hřišti nebo komunikovat s ostatními.</w:t>
      </w:r>
    </w:p>
    <w:p w14:paraId="33D791CC" w14:textId="77777777" w:rsidR="00EA2A01" w:rsidRPr="00EA2A01" w:rsidRDefault="00EA2A01" w:rsidP="00EA2A01">
      <w:pPr>
        <w:pStyle w:val="Normlnweb"/>
        <w:rPr>
          <w:rFonts w:ascii="Arial" w:hAnsi="Arial" w:cs="Arial"/>
        </w:rPr>
      </w:pPr>
      <w:r w:rsidRPr="00EA2A01">
        <w:rPr>
          <w:rStyle w:val="Siln"/>
          <w:rFonts w:ascii="Arial" w:hAnsi="Arial" w:cs="Arial"/>
        </w:rPr>
        <w:t>Tvořivé aktivity</w:t>
      </w:r>
      <w:r w:rsidRPr="00EA2A01">
        <w:rPr>
          <w:rFonts w:ascii="Arial" w:hAnsi="Arial" w:cs="Arial"/>
        </w:rPr>
        <w:br/>
        <w:t>Plocha stolu umožňuje kreslení, hraní s pískem, práci s přírodními materiály nebo jiné kreativní činnosti.</w:t>
      </w:r>
    </w:p>
    <w:p w14:paraId="70011174" w14:textId="77777777" w:rsidR="00EA2A01" w:rsidRPr="00EA2A01" w:rsidRDefault="00EA2A01" w:rsidP="00EA2A01">
      <w:pPr>
        <w:pStyle w:val="Normlnweb"/>
        <w:rPr>
          <w:rStyle w:val="relative"/>
          <w:rFonts w:ascii="Arial" w:hAnsi="Arial" w:cs="Arial"/>
        </w:rPr>
      </w:pPr>
      <w:r w:rsidRPr="00EA2A01">
        <w:rPr>
          <w:rStyle w:val="Siln"/>
          <w:rFonts w:ascii="Arial" w:hAnsi="Arial" w:cs="Arial"/>
        </w:rPr>
        <w:t>Přeskakování mezi špalíky</w:t>
      </w:r>
      <w:r w:rsidRPr="00EA2A01">
        <w:rPr>
          <w:rFonts w:ascii="Arial" w:hAnsi="Arial" w:cs="Arial"/>
        </w:rPr>
        <w:br/>
        <w:t xml:space="preserve">Samostatné sedací špalíky mohou být využívány také jako drobný balanční prvek. Přeskakování mezi nimi podporuje koordinaci pohybů a rovnováhu. </w:t>
      </w:r>
    </w:p>
    <w:p w14:paraId="5EE82DC0" w14:textId="77777777" w:rsidR="00EA2A01" w:rsidRPr="00EA2A01" w:rsidRDefault="00EA2A01" w:rsidP="00EA2A01">
      <w:pPr>
        <w:rPr>
          <w:rFonts w:ascii="Arial" w:hAnsi="Arial" w:cs="Arial"/>
          <w:sz w:val="24"/>
          <w:szCs w:val="24"/>
        </w:rPr>
      </w:pPr>
      <w:r w:rsidRPr="00EA2A01">
        <w:rPr>
          <w:rFonts w:ascii="Arial" w:hAnsi="Arial" w:cs="Arial"/>
          <w:sz w:val="24"/>
          <w:szCs w:val="24"/>
        </w:rPr>
        <w:pict w14:anchorId="74234914">
          <v:rect id="_x0000_i1035" style="width:0;height:1.5pt" o:hralign="center" o:hrstd="t" o:hr="t" fillcolor="#a0a0a0" stroked="f"/>
        </w:pict>
      </w:r>
    </w:p>
    <w:p w14:paraId="0C2FFBE4" w14:textId="73DADE2D" w:rsidR="00EA2A01" w:rsidRPr="00EA2A01" w:rsidRDefault="00EA2A01" w:rsidP="00EA2A01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EA2A01">
        <w:rPr>
          <w:rFonts w:ascii="Arial" w:hAnsi="Arial" w:cs="Arial"/>
          <w:b/>
          <w:bCs/>
          <w:color w:val="auto"/>
          <w:sz w:val="24"/>
          <w:szCs w:val="24"/>
        </w:rPr>
        <w:t>Popis jednotlivých částí a jejich vliv</w:t>
      </w:r>
    </w:p>
    <w:p w14:paraId="27DF04D7" w14:textId="77777777" w:rsidR="00EA2A01" w:rsidRPr="00EA2A01" w:rsidRDefault="00EA2A01" w:rsidP="00EA2A01">
      <w:pPr>
        <w:pStyle w:val="Normlnweb"/>
        <w:rPr>
          <w:rFonts w:ascii="Arial" w:hAnsi="Arial" w:cs="Arial"/>
        </w:rPr>
      </w:pPr>
      <w:r w:rsidRPr="00EA2A01">
        <w:rPr>
          <w:rStyle w:val="Siln"/>
          <w:rFonts w:ascii="Arial" w:hAnsi="Arial" w:cs="Arial"/>
        </w:rPr>
        <w:t>Stůl</w:t>
      </w:r>
      <w:r w:rsidRPr="00EA2A01">
        <w:rPr>
          <w:rFonts w:ascii="Arial" w:hAnsi="Arial" w:cs="Arial"/>
        </w:rPr>
        <w:br/>
        <w:t>Masivní stolová deska vytváří stabilní pracovní plochu pro dětské aktivity. Konstrukce je navržena pro intenzivní venkovní provoz.</w:t>
      </w:r>
    </w:p>
    <w:p w14:paraId="31C9699F" w14:textId="77777777" w:rsidR="00EA2A01" w:rsidRPr="00EA2A01" w:rsidRDefault="00EA2A01" w:rsidP="00EA2A01">
      <w:pPr>
        <w:pStyle w:val="Normlnweb"/>
        <w:rPr>
          <w:rFonts w:ascii="Arial" w:hAnsi="Arial" w:cs="Arial"/>
        </w:rPr>
      </w:pPr>
      <w:r w:rsidRPr="00EA2A01">
        <w:rPr>
          <w:rStyle w:val="Siln"/>
          <w:rFonts w:ascii="Arial" w:hAnsi="Arial" w:cs="Arial"/>
        </w:rPr>
        <w:t>Sedací špalíky</w:t>
      </w:r>
      <w:r w:rsidRPr="00EA2A01">
        <w:rPr>
          <w:rFonts w:ascii="Arial" w:hAnsi="Arial" w:cs="Arial"/>
        </w:rPr>
        <w:br/>
        <w:t>Samostatné sedací prvky z masivního dřeva poskytují dětem individuální místo k sezení. Jejich rozmístění kolem stolu podporuje sociální interakci a společné aktivity.</w:t>
      </w:r>
    </w:p>
    <w:p w14:paraId="16E5D779" w14:textId="77777777" w:rsidR="00EA2A01" w:rsidRPr="00EA2A01" w:rsidRDefault="00EA2A01" w:rsidP="00EA2A01">
      <w:pPr>
        <w:pStyle w:val="Normlnweb"/>
        <w:rPr>
          <w:rFonts w:ascii="Arial" w:hAnsi="Arial" w:cs="Arial"/>
        </w:rPr>
      </w:pPr>
      <w:r w:rsidRPr="00EA2A01">
        <w:rPr>
          <w:rStyle w:val="Siln"/>
          <w:rFonts w:ascii="Arial" w:hAnsi="Arial" w:cs="Arial"/>
        </w:rPr>
        <w:t>Nosná konstrukce</w:t>
      </w:r>
      <w:r w:rsidRPr="00EA2A01">
        <w:rPr>
          <w:rFonts w:ascii="Arial" w:hAnsi="Arial" w:cs="Arial"/>
        </w:rPr>
        <w:br/>
        <w:t>Robustní nosné prvky zajišťují stabilitu celé sestavy a dlouhou životnost i při vysokém zatížení.</w:t>
      </w:r>
    </w:p>
    <w:p w14:paraId="0A880737" w14:textId="77777777" w:rsidR="00EA2A01" w:rsidRPr="00EA2A01" w:rsidRDefault="00EA2A01" w:rsidP="00EA2A01">
      <w:pPr>
        <w:rPr>
          <w:rFonts w:ascii="Arial" w:hAnsi="Arial" w:cs="Arial"/>
          <w:sz w:val="24"/>
          <w:szCs w:val="24"/>
        </w:rPr>
      </w:pPr>
      <w:r w:rsidRPr="00EA2A01">
        <w:rPr>
          <w:rFonts w:ascii="Arial" w:hAnsi="Arial" w:cs="Arial"/>
          <w:sz w:val="24"/>
          <w:szCs w:val="24"/>
        </w:rPr>
        <w:pict w14:anchorId="08B77569">
          <v:rect id="_x0000_i1036" style="width:0;height:1.5pt" o:hralign="center" o:hrstd="t" o:hr="t" fillcolor="#a0a0a0" stroked="f"/>
        </w:pict>
      </w:r>
    </w:p>
    <w:p w14:paraId="1F897CAF" w14:textId="6CD7DF21" w:rsidR="00EA2A01" w:rsidRPr="00EA2A01" w:rsidRDefault="00EA2A01" w:rsidP="00EA2A01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EA2A01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Materiálová specifikace</w:t>
      </w:r>
    </w:p>
    <w:p w14:paraId="788105C9" w14:textId="77777777" w:rsidR="00EA2A01" w:rsidRPr="00EA2A01" w:rsidRDefault="00EA2A01" w:rsidP="00EA2A01">
      <w:pPr>
        <w:pStyle w:val="Normlnweb"/>
        <w:rPr>
          <w:rStyle w:val="relative"/>
          <w:rFonts w:ascii="Arial" w:hAnsi="Arial" w:cs="Arial"/>
        </w:rPr>
      </w:pPr>
      <w:r w:rsidRPr="00EA2A01">
        <w:rPr>
          <w:rStyle w:val="Siln"/>
          <w:rFonts w:ascii="Arial" w:hAnsi="Arial" w:cs="Arial"/>
        </w:rPr>
        <w:t>Dřevěná konstrukce</w:t>
      </w:r>
      <w:r w:rsidRPr="00EA2A01">
        <w:rPr>
          <w:rFonts w:ascii="Arial" w:hAnsi="Arial" w:cs="Arial"/>
        </w:rPr>
        <w:br/>
        <w:t>Stůl i sedací špalíky jsou vyrobeny z masivního akátového dřeva (</w:t>
      </w:r>
      <w:proofErr w:type="spellStart"/>
      <w:r w:rsidRPr="00EA2A01">
        <w:rPr>
          <w:rFonts w:ascii="Arial" w:hAnsi="Arial" w:cs="Arial"/>
        </w:rPr>
        <w:t>Robinia</w:t>
      </w:r>
      <w:proofErr w:type="spellEnd"/>
      <w:r w:rsidRPr="00EA2A01">
        <w:rPr>
          <w:rFonts w:ascii="Arial" w:hAnsi="Arial" w:cs="Arial"/>
        </w:rPr>
        <w:t xml:space="preserve"> </w:t>
      </w:r>
      <w:proofErr w:type="spellStart"/>
      <w:r w:rsidRPr="00EA2A01">
        <w:rPr>
          <w:rFonts w:ascii="Arial" w:hAnsi="Arial" w:cs="Arial"/>
        </w:rPr>
        <w:t>pseudoacacia</w:t>
      </w:r>
      <w:proofErr w:type="spellEnd"/>
      <w:r w:rsidRPr="00EA2A01">
        <w:rPr>
          <w:rFonts w:ascii="Arial" w:hAnsi="Arial" w:cs="Arial"/>
        </w:rPr>
        <w:t xml:space="preserve">). Konstrukční prvky jsou tvořeny odkorněnými kmeny bez bělového dřeva o průměru přibližně </w:t>
      </w:r>
      <w:r w:rsidRPr="00EA2A01">
        <w:rPr>
          <w:rStyle w:val="Siln"/>
          <w:rFonts w:ascii="Arial" w:hAnsi="Arial" w:cs="Arial"/>
        </w:rPr>
        <w:t>Ø 120–180 mm</w:t>
      </w:r>
      <w:r w:rsidRPr="00EA2A01">
        <w:rPr>
          <w:rFonts w:ascii="Arial" w:hAnsi="Arial" w:cs="Arial"/>
        </w:rPr>
        <w:t xml:space="preserve">. Akátové dřevo je přirozeně odolné vůči vlhkosti, hnilobě i biologickému napadení a je vhodné pro dlouhodobé venkovní použití. </w:t>
      </w:r>
    </w:p>
    <w:p w14:paraId="776C027E" w14:textId="77777777" w:rsidR="00EA2A01" w:rsidRPr="00EA2A01" w:rsidRDefault="00EA2A01" w:rsidP="00EA2A01">
      <w:pPr>
        <w:pStyle w:val="Normlnweb"/>
        <w:rPr>
          <w:rStyle w:val="relative"/>
          <w:rFonts w:ascii="Arial" w:hAnsi="Arial" w:cs="Arial"/>
        </w:rPr>
      </w:pPr>
      <w:r w:rsidRPr="00EA2A01">
        <w:rPr>
          <w:rStyle w:val="Siln"/>
          <w:rFonts w:ascii="Arial" w:hAnsi="Arial" w:cs="Arial"/>
        </w:rPr>
        <w:t>Povrchová úprava</w:t>
      </w:r>
      <w:r w:rsidRPr="00EA2A01">
        <w:rPr>
          <w:rFonts w:ascii="Arial" w:hAnsi="Arial" w:cs="Arial"/>
        </w:rPr>
        <w:br/>
        <w:t xml:space="preserve">Dřevěné části mohou být ponechány v přírodní podobě nebo opatřeny transparentním pigmentovým nátěrem na vodní bázi s vysokou UV stabilitou. Nátěr splňuje požadavky normy </w:t>
      </w:r>
      <w:r w:rsidRPr="00EA2A01">
        <w:rPr>
          <w:rStyle w:val="Siln"/>
          <w:rFonts w:ascii="Arial" w:hAnsi="Arial" w:cs="Arial"/>
        </w:rPr>
        <w:t>EN 71-3</w:t>
      </w:r>
      <w:r w:rsidRPr="00EA2A01">
        <w:rPr>
          <w:rFonts w:ascii="Arial" w:hAnsi="Arial" w:cs="Arial"/>
        </w:rPr>
        <w:t xml:space="preserve">. </w:t>
      </w:r>
    </w:p>
    <w:p w14:paraId="2CC2E231" w14:textId="77777777" w:rsidR="00EA2A01" w:rsidRPr="00EA2A01" w:rsidRDefault="00EA2A01" w:rsidP="00EA2A01">
      <w:pPr>
        <w:pStyle w:val="Normlnweb"/>
        <w:rPr>
          <w:rStyle w:val="relative"/>
          <w:rFonts w:ascii="Arial" w:hAnsi="Arial" w:cs="Arial"/>
        </w:rPr>
      </w:pPr>
      <w:r w:rsidRPr="00EA2A01">
        <w:rPr>
          <w:rStyle w:val="Siln"/>
          <w:rFonts w:ascii="Arial" w:hAnsi="Arial" w:cs="Arial"/>
        </w:rPr>
        <w:t>Ocelové prvky</w:t>
      </w:r>
      <w:r w:rsidRPr="00EA2A01">
        <w:rPr>
          <w:rFonts w:ascii="Arial" w:hAnsi="Arial" w:cs="Arial"/>
        </w:rPr>
        <w:br/>
        <w:t xml:space="preserve">Kotevní a spojovací prvky jsou vyrobeny z konstrukční oceli s </w:t>
      </w:r>
      <w:r w:rsidRPr="00EA2A01">
        <w:rPr>
          <w:rStyle w:val="Siln"/>
          <w:rFonts w:ascii="Arial" w:hAnsi="Arial" w:cs="Arial"/>
        </w:rPr>
        <w:t>žárovým zinkováním dle ISO 1461</w:t>
      </w:r>
      <w:r w:rsidRPr="00EA2A01">
        <w:rPr>
          <w:rFonts w:ascii="Arial" w:hAnsi="Arial" w:cs="Arial"/>
        </w:rPr>
        <w:t xml:space="preserve">, které zajišťuje dlouhodobou ochranu proti korozi. </w:t>
      </w:r>
    </w:p>
    <w:p w14:paraId="12DB588F" w14:textId="77777777" w:rsidR="00EA2A01" w:rsidRPr="00EA2A01" w:rsidRDefault="00EA2A01" w:rsidP="00EA2A01">
      <w:pPr>
        <w:rPr>
          <w:rFonts w:ascii="Arial" w:hAnsi="Arial" w:cs="Arial"/>
          <w:sz w:val="24"/>
          <w:szCs w:val="24"/>
        </w:rPr>
      </w:pPr>
      <w:r w:rsidRPr="00EA2A01">
        <w:rPr>
          <w:rFonts w:ascii="Arial" w:hAnsi="Arial" w:cs="Arial"/>
          <w:sz w:val="24"/>
          <w:szCs w:val="24"/>
        </w:rPr>
        <w:pict w14:anchorId="011FFB6A">
          <v:rect id="_x0000_i1037" style="width:0;height:1.5pt" o:hralign="center" o:hrstd="t" o:hr="t" fillcolor="#a0a0a0" stroked="f"/>
        </w:pict>
      </w:r>
    </w:p>
    <w:p w14:paraId="03E113CF" w14:textId="5DD47CD7" w:rsidR="00EA2A01" w:rsidRPr="00EA2A01" w:rsidRDefault="00EA2A01" w:rsidP="00EA2A01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EA2A01">
        <w:rPr>
          <w:rFonts w:ascii="Arial" w:hAnsi="Arial" w:cs="Arial"/>
          <w:b/>
          <w:bCs/>
          <w:color w:val="auto"/>
          <w:sz w:val="24"/>
          <w:szCs w:val="24"/>
        </w:rPr>
        <w:t>Technické údaje</w:t>
      </w:r>
    </w:p>
    <w:p w14:paraId="6CC1A5F7" w14:textId="77777777" w:rsidR="00EA2A01" w:rsidRPr="00EA2A01" w:rsidRDefault="00EA2A01" w:rsidP="00EA2A01">
      <w:pPr>
        <w:pStyle w:val="Normlnweb"/>
        <w:rPr>
          <w:rStyle w:val="relative"/>
          <w:rFonts w:ascii="Arial" w:hAnsi="Arial" w:cs="Arial"/>
        </w:rPr>
      </w:pPr>
      <w:r w:rsidRPr="00EA2A01">
        <w:rPr>
          <w:rFonts w:ascii="Arial" w:hAnsi="Arial" w:cs="Arial"/>
        </w:rPr>
        <w:t xml:space="preserve">Rozměry prvku (D × Š × V): </w:t>
      </w:r>
      <w:r w:rsidRPr="00EA2A01">
        <w:rPr>
          <w:rStyle w:val="Siln"/>
          <w:rFonts w:ascii="Arial" w:hAnsi="Arial" w:cs="Arial"/>
        </w:rPr>
        <w:t>145 × 125 × 50 cm</w:t>
      </w:r>
      <w:r w:rsidRPr="00EA2A01">
        <w:rPr>
          <w:rFonts w:ascii="Arial" w:hAnsi="Arial" w:cs="Arial"/>
        </w:rPr>
        <w:br/>
        <w:t xml:space="preserve">Věkové určení: </w:t>
      </w:r>
      <w:r w:rsidRPr="00EA2A01">
        <w:rPr>
          <w:rStyle w:val="Siln"/>
          <w:rFonts w:ascii="Arial" w:hAnsi="Arial" w:cs="Arial"/>
        </w:rPr>
        <w:t>1+</w:t>
      </w:r>
      <w:r w:rsidRPr="00EA2A01">
        <w:rPr>
          <w:rFonts w:ascii="Arial" w:hAnsi="Arial" w:cs="Arial"/>
        </w:rPr>
        <w:br/>
        <w:t xml:space="preserve">Kapacita: </w:t>
      </w:r>
      <w:r w:rsidRPr="00EA2A01">
        <w:rPr>
          <w:rStyle w:val="Siln"/>
          <w:rFonts w:ascii="Arial" w:hAnsi="Arial" w:cs="Arial"/>
        </w:rPr>
        <w:t>4 děti</w:t>
      </w:r>
      <w:r w:rsidRPr="00EA2A01">
        <w:rPr>
          <w:rFonts w:ascii="Arial" w:hAnsi="Arial" w:cs="Arial"/>
        </w:rPr>
        <w:br/>
        <w:t xml:space="preserve">Maximální výška pádu: </w:t>
      </w:r>
      <w:r w:rsidRPr="00EA2A01">
        <w:rPr>
          <w:rStyle w:val="Siln"/>
          <w:rFonts w:ascii="Arial" w:hAnsi="Arial" w:cs="Arial"/>
        </w:rPr>
        <w:t>0,50 m</w:t>
      </w:r>
      <w:r w:rsidRPr="00EA2A01">
        <w:rPr>
          <w:rFonts w:ascii="Arial" w:hAnsi="Arial" w:cs="Arial"/>
        </w:rPr>
        <w:br/>
        <w:t xml:space="preserve">Rozměr bezpečnostní plochy: </w:t>
      </w:r>
      <w:r w:rsidRPr="00EA2A01">
        <w:rPr>
          <w:rStyle w:val="Siln"/>
          <w:rFonts w:ascii="Arial" w:hAnsi="Arial" w:cs="Arial"/>
        </w:rPr>
        <w:t>13,9 m²</w:t>
      </w:r>
      <w:r w:rsidRPr="00EA2A01">
        <w:rPr>
          <w:rFonts w:ascii="Arial" w:hAnsi="Arial" w:cs="Arial"/>
        </w:rPr>
        <w:br/>
        <w:t xml:space="preserve">Hloubka založení: </w:t>
      </w:r>
      <w:r w:rsidRPr="00EA2A01">
        <w:rPr>
          <w:rStyle w:val="Siln"/>
          <w:rFonts w:ascii="Arial" w:hAnsi="Arial" w:cs="Arial"/>
        </w:rPr>
        <w:t>cca 52 cm</w:t>
      </w:r>
      <w:r w:rsidRPr="00EA2A01">
        <w:rPr>
          <w:rFonts w:ascii="Arial" w:hAnsi="Arial" w:cs="Arial"/>
        </w:rPr>
        <w:br/>
        <w:t xml:space="preserve">Hmotnost prvku: </w:t>
      </w:r>
      <w:r w:rsidRPr="00EA2A01">
        <w:rPr>
          <w:rStyle w:val="Siln"/>
          <w:rFonts w:ascii="Arial" w:hAnsi="Arial" w:cs="Arial"/>
        </w:rPr>
        <w:t>cca 111 kg</w:t>
      </w:r>
      <w:r w:rsidRPr="00EA2A01">
        <w:rPr>
          <w:rFonts w:ascii="Arial" w:hAnsi="Arial" w:cs="Arial"/>
        </w:rPr>
        <w:br/>
        <w:t xml:space="preserve">Recyklovaný materiál: </w:t>
      </w:r>
      <w:r w:rsidRPr="00EA2A01">
        <w:rPr>
          <w:rStyle w:val="Siln"/>
          <w:rFonts w:ascii="Arial" w:hAnsi="Arial" w:cs="Arial"/>
        </w:rPr>
        <w:t>cca 0 %</w:t>
      </w:r>
      <w:r w:rsidRPr="00EA2A01">
        <w:rPr>
          <w:rFonts w:ascii="Arial" w:hAnsi="Arial" w:cs="Arial"/>
        </w:rPr>
        <w:t xml:space="preserve"> </w:t>
      </w:r>
    </w:p>
    <w:p w14:paraId="5EEB63AB" w14:textId="77777777" w:rsidR="00EA2A01" w:rsidRPr="00EA2A01" w:rsidRDefault="00EA2A01" w:rsidP="00EA2A01">
      <w:pPr>
        <w:pStyle w:val="Normlnweb"/>
        <w:rPr>
          <w:rFonts w:ascii="Arial" w:hAnsi="Arial" w:cs="Arial"/>
        </w:rPr>
      </w:pPr>
      <w:r w:rsidRPr="00EA2A01">
        <w:rPr>
          <w:rFonts w:ascii="Arial" w:hAnsi="Arial" w:cs="Arial"/>
        </w:rPr>
        <w:t xml:space="preserve">Prvek je určen pro instalaci do terénu pomocí betonových základů dle pokynů výrobce a splňuje požadavky normy </w:t>
      </w:r>
      <w:r w:rsidRPr="00EA2A01">
        <w:rPr>
          <w:rStyle w:val="Siln"/>
          <w:rFonts w:ascii="Arial" w:hAnsi="Arial" w:cs="Arial"/>
        </w:rPr>
        <w:t>ČSN EN 1176</w:t>
      </w:r>
      <w:r w:rsidRPr="00EA2A01">
        <w:rPr>
          <w:rFonts w:ascii="Arial" w:hAnsi="Arial" w:cs="Arial"/>
        </w:rPr>
        <w:t>.</w:t>
      </w:r>
    </w:p>
    <w:p w14:paraId="00062F90" w14:textId="277707FB" w:rsidR="00BA3605" w:rsidRPr="001C6C3F" w:rsidRDefault="00EA2A01" w:rsidP="001C6C3F">
      <w:pPr>
        <w:pStyle w:val="Normlnweb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D401E91" wp14:editId="477CAF07">
            <wp:extent cx="3658870" cy="638175"/>
            <wp:effectExtent l="0" t="0" r="0" b="952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093"/>
                    <a:stretch/>
                  </pic:blipFill>
                  <pic:spPr bwMode="auto">
                    <a:xfrm>
                      <a:off x="0" y="0"/>
                      <a:ext cx="3673652" cy="640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drawing>
          <wp:inline distT="0" distB="0" distL="0" distR="0" wp14:anchorId="5628FF5E" wp14:editId="3F616AE5">
            <wp:extent cx="1943100" cy="1872615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369"/>
                    <a:stretch/>
                  </pic:blipFill>
                  <pic:spPr bwMode="auto">
                    <a:xfrm>
                      <a:off x="0" y="0"/>
                      <a:ext cx="1947870" cy="1877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36CD0" w:rsidRPr="00B160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166F" wp14:editId="5C0B1170">
                <wp:simplePos x="0" y="0"/>
                <wp:positionH relativeFrom="column">
                  <wp:posOffset>670588</wp:posOffset>
                </wp:positionH>
                <wp:positionV relativeFrom="paragraph">
                  <wp:posOffset>4497153</wp:posOffset>
                </wp:positionV>
                <wp:extent cx="974034" cy="407504"/>
                <wp:effectExtent l="0" t="0" r="36195" b="12065"/>
                <wp:wrapNone/>
                <wp:docPr id="3" name="Volný tvar: obraze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34" cy="407504"/>
                        </a:xfrm>
                        <a:custGeom>
                          <a:avLst/>
                          <a:gdLst>
                            <a:gd name="connsiteX0" fmla="*/ 0 w 974034"/>
                            <a:gd name="connsiteY0" fmla="*/ 407504 h 407504"/>
                            <a:gd name="connsiteX1" fmla="*/ 0 w 974034"/>
                            <a:gd name="connsiteY1" fmla="*/ 407504 h 407504"/>
                            <a:gd name="connsiteX2" fmla="*/ 9939 w 974034"/>
                            <a:gd name="connsiteY2" fmla="*/ 258417 h 407504"/>
                            <a:gd name="connsiteX3" fmla="*/ 79513 w 974034"/>
                            <a:gd name="connsiteY3" fmla="*/ 129209 h 407504"/>
                            <a:gd name="connsiteX4" fmla="*/ 139147 w 974034"/>
                            <a:gd name="connsiteY4" fmla="*/ 89452 h 407504"/>
                            <a:gd name="connsiteX5" fmla="*/ 208721 w 974034"/>
                            <a:gd name="connsiteY5" fmla="*/ 59635 h 407504"/>
                            <a:gd name="connsiteX6" fmla="*/ 288234 w 974034"/>
                            <a:gd name="connsiteY6" fmla="*/ 19878 h 407504"/>
                            <a:gd name="connsiteX7" fmla="*/ 427382 w 974034"/>
                            <a:gd name="connsiteY7" fmla="*/ 0 h 407504"/>
                            <a:gd name="connsiteX8" fmla="*/ 586408 w 974034"/>
                            <a:gd name="connsiteY8" fmla="*/ 9939 h 407504"/>
                            <a:gd name="connsiteX9" fmla="*/ 636104 w 974034"/>
                            <a:gd name="connsiteY9" fmla="*/ 19878 h 407504"/>
                            <a:gd name="connsiteX10" fmla="*/ 685800 w 974034"/>
                            <a:gd name="connsiteY10" fmla="*/ 39756 h 407504"/>
                            <a:gd name="connsiteX11" fmla="*/ 884582 w 974034"/>
                            <a:gd name="connsiteY11" fmla="*/ 49695 h 407504"/>
                            <a:gd name="connsiteX12" fmla="*/ 914400 w 974034"/>
                            <a:gd name="connsiteY12" fmla="*/ 69574 h 407504"/>
                            <a:gd name="connsiteX13" fmla="*/ 924339 w 974034"/>
                            <a:gd name="connsiteY13" fmla="*/ 99391 h 407504"/>
                            <a:gd name="connsiteX14" fmla="*/ 974034 w 974034"/>
                            <a:gd name="connsiteY14" fmla="*/ 208722 h 407504"/>
                            <a:gd name="connsiteX15" fmla="*/ 954156 w 974034"/>
                            <a:gd name="connsiteY15" fmla="*/ 238539 h 407504"/>
                            <a:gd name="connsiteX16" fmla="*/ 904460 w 974034"/>
                            <a:gd name="connsiteY16" fmla="*/ 248478 h 407504"/>
                            <a:gd name="connsiteX17" fmla="*/ 834887 w 974034"/>
                            <a:gd name="connsiteY17" fmla="*/ 258417 h 407504"/>
                            <a:gd name="connsiteX18" fmla="*/ 357808 w 974034"/>
                            <a:gd name="connsiteY18" fmla="*/ 268356 h 407504"/>
                            <a:gd name="connsiteX19" fmla="*/ 129208 w 974034"/>
                            <a:gd name="connsiteY19" fmla="*/ 288235 h 407504"/>
                            <a:gd name="connsiteX20" fmla="*/ 79513 w 974034"/>
                            <a:gd name="connsiteY20" fmla="*/ 308113 h 407504"/>
                            <a:gd name="connsiteX21" fmla="*/ 39756 w 974034"/>
                            <a:gd name="connsiteY21" fmla="*/ 327991 h 407504"/>
                            <a:gd name="connsiteX22" fmla="*/ 19878 w 974034"/>
                            <a:gd name="connsiteY22" fmla="*/ 327991 h 4075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974034" h="407504">
                              <a:moveTo>
                                <a:pt x="0" y="407504"/>
                              </a:moveTo>
                              <a:lnTo>
                                <a:pt x="0" y="407504"/>
                              </a:lnTo>
                              <a:cubicBezTo>
                                <a:pt x="3313" y="357808"/>
                                <a:pt x="-219" y="307176"/>
                                <a:pt x="9939" y="258417"/>
                              </a:cubicBezTo>
                              <a:cubicBezTo>
                                <a:pt x="15061" y="233833"/>
                                <a:pt x="51115" y="154451"/>
                                <a:pt x="79513" y="129209"/>
                              </a:cubicBezTo>
                              <a:cubicBezTo>
                                <a:pt x="97369" y="113337"/>
                                <a:pt x="118112" y="100779"/>
                                <a:pt x="139147" y="89452"/>
                              </a:cubicBezTo>
                              <a:cubicBezTo>
                                <a:pt x="161362" y="77490"/>
                                <a:pt x="186570" y="71717"/>
                                <a:pt x="208721" y="59635"/>
                              </a:cubicBezTo>
                              <a:cubicBezTo>
                                <a:pt x="271882" y="25184"/>
                                <a:pt x="222119" y="30897"/>
                                <a:pt x="288234" y="19878"/>
                              </a:cubicBezTo>
                              <a:cubicBezTo>
                                <a:pt x="334450" y="12175"/>
                                <a:pt x="427382" y="0"/>
                                <a:pt x="427382" y="0"/>
                              </a:cubicBezTo>
                              <a:cubicBezTo>
                                <a:pt x="480391" y="3313"/>
                                <a:pt x="533535" y="4904"/>
                                <a:pt x="586408" y="9939"/>
                              </a:cubicBezTo>
                              <a:cubicBezTo>
                                <a:pt x="603225" y="11541"/>
                                <a:pt x="619923" y="15024"/>
                                <a:pt x="636104" y="19878"/>
                              </a:cubicBezTo>
                              <a:cubicBezTo>
                                <a:pt x="653193" y="25005"/>
                                <a:pt x="668086" y="37630"/>
                                <a:pt x="685800" y="39756"/>
                              </a:cubicBezTo>
                              <a:cubicBezTo>
                                <a:pt x="751671" y="47660"/>
                                <a:pt x="818321" y="46382"/>
                                <a:pt x="884582" y="49695"/>
                              </a:cubicBezTo>
                              <a:cubicBezTo>
                                <a:pt x="894521" y="56321"/>
                                <a:pt x="906938" y="60246"/>
                                <a:pt x="914400" y="69574"/>
                              </a:cubicBezTo>
                              <a:cubicBezTo>
                                <a:pt x="920945" y="77755"/>
                                <a:pt x="920004" y="89853"/>
                                <a:pt x="924339" y="99391"/>
                              </a:cubicBezTo>
                              <a:cubicBezTo>
                                <a:pt x="979889" y="221603"/>
                                <a:pt x="950797" y="139008"/>
                                <a:pt x="974034" y="208722"/>
                              </a:cubicBezTo>
                              <a:cubicBezTo>
                                <a:pt x="967408" y="218661"/>
                                <a:pt x="964527" y="232613"/>
                                <a:pt x="954156" y="238539"/>
                              </a:cubicBezTo>
                              <a:cubicBezTo>
                                <a:pt x="939488" y="246920"/>
                                <a:pt x="921124" y="245701"/>
                                <a:pt x="904460" y="248478"/>
                              </a:cubicBezTo>
                              <a:cubicBezTo>
                                <a:pt x="881352" y="252329"/>
                                <a:pt x="858298" y="257566"/>
                                <a:pt x="834887" y="258417"/>
                              </a:cubicBezTo>
                              <a:cubicBezTo>
                                <a:pt x="675931" y="264197"/>
                                <a:pt x="516834" y="265043"/>
                                <a:pt x="357808" y="268356"/>
                              </a:cubicBezTo>
                              <a:cubicBezTo>
                                <a:pt x="318602" y="270534"/>
                                <a:pt x="193187" y="269041"/>
                                <a:pt x="129208" y="288235"/>
                              </a:cubicBezTo>
                              <a:cubicBezTo>
                                <a:pt x="112119" y="293362"/>
                                <a:pt x="95816" y="300867"/>
                                <a:pt x="79513" y="308113"/>
                              </a:cubicBezTo>
                              <a:cubicBezTo>
                                <a:pt x="65974" y="314130"/>
                                <a:pt x="53812" y="323306"/>
                                <a:pt x="39756" y="327991"/>
                              </a:cubicBezTo>
                              <a:cubicBezTo>
                                <a:pt x="33470" y="330086"/>
                                <a:pt x="26504" y="327991"/>
                                <a:pt x="19878" y="327991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8E01E2" id="Volný tvar: obrazec 3" o:spid="_x0000_s1026" style="position:absolute;margin-left:52.8pt;margin-top:354.1pt;width:76.7pt;height:3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74034,407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" path="m,407504r,c3313,357808,-219,307176,9939,258417,15061,233833,51115,154451,79513,129209v17856,-15872,38599,-28430,59634,-39757c161362,77490,186570,71717,208721,59635,271882,25184,222119,30897,288234,19878,334450,12175,427382,,427382,v53009,3313,106153,4904,159026,9939c603225,11541,619923,15024,636104,19878v17089,5127,31982,17752,49696,19878c751671,47660,818321,46382,884582,49695v9939,6626,22356,10551,29818,19879c920945,77755,920004,89853,924339,99391v55550,122212,26458,39617,49695,109331c967408,218661,964527,232613,954156,238539v-14668,8381,-33032,7162,-49696,9939c881352,252329,858298,257566,834887,258417v-158956,5780,-318053,6626,-477079,9939c318602,270534,193187,269041,129208,288235v-17089,5127,-33392,12632,-49695,19878c65974,314130,53812,323306,39756,327991v-6286,2095,-13252,,-19878,e" fillcolor="white [3212]" strokecolor="white [3212]" strokeweight="1pt">
                <v:stroke joinstyle="miter"/>
                <v:path arrowok="t" o:connecttype="custom" o:connectlocs="0,407504;0,407504;9939,258417;79513,129209;139147,89452;208721,59635;288234,19878;427382,0;586408,9939;636104,19878;685800,39756;884582,49695;914400,69574;924339,99391;974034,208722;954156,238539;904460,248478;834887,258417;357808,268356;129208,288235;79513,308113;39756,327991;19878,327991" o:connectangles="0,0,0,0,0,0,0,0,0,0,0,0,0,0,0,0,0,0,0,0,0,0,0"/>
              </v:shape>
            </w:pict>
          </mc:Fallback>
        </mc:AlternateContent>
      </w:r>
    </w:p>
    <w:sectPr w:rsidR="00BA3605" w:rsidRPr="001C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365D5"/>
    <w:multiLevelType w:val="multilevel"/>
    <w:tmpl w:val="F74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03F34"/>
    <w:multiLevelType w:val="multilevel"/>
    <w:tmpl w:val="FDA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1C6C3F"/>
    <w:rsid w:val="00417C27"/>
    <w:rsid w:val="006D4932"/>
    <w:rsid w:val="007E701B"/>
    <w:rsid w:val="008232F1"/>
    <w:rsid w:val="00877DBF"/>
    <w:rsid w:val="00884F18"/>
    <w:rsid w:val="00A42611"/>
    <w:rsid w:val="00B16026"/>
    <w:rsid w:val="00B3102E"/>
    <w:rsid w:val="00BA3605"/>
    <w:rsid w:val="00BC2C29"/>
    <w:rsid w:val="00CF5BC1"/>
    <w:rsid w:val="00D53FB4"/>
    <w:rsid w:val="00D72055"/>
    <w:rsid w:val="00D76ADA"/>
    <w:rsid w:val="00DE42C5"/>
    <w:rsid w:val="00E36CD0"/>
    <w:rsid w:val="00E9077E"/>
    <w:rsid w:val="00EA2A01"/>
    <w:rsid w:val="00EA57D9"/>
    <w:rsid w:val="00EE112E"/>
    <w:rsid w:val="00F20E47"/>
    <w:rsid w:val="00F35DE8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6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2Char">
    <w:name w:val="Nadpis 2 Char"/>
    <w:basedOn w:val="Standardnpsmoodstavce"/>
    <w:link w:val="Nadpis2"/>
    <w:uiPriority w:val="9"/>
    <w:semiHidden/>
    <w:rsid w:val="00B3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elative">
    <w:name w:val="relative"/>
    <w:basedOn w:val="Standardnpsmoodstavce"/>
    <w:rsid w:val="00B3102E"/>
  </w:style>
  <w:style w:type="paragraph" w:customStyle="1" w:styleId="not-prose">
    <w:name w:val="not-prose"/>
    <w:basedOn w:val="Normln"/>
    <w:rsid w:val="00B3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C6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385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20</cp:revision>
  <dcterms:created xsi:type="dcterms:W3CDTF">2024-12-16T09:30:00Z</dcterms:created>
  <dcterms:modified xsi:type="dcterms:W3CDTF">2026-03-12T14:01:00Z</dcterms:modified>
</cp:coreProperties>
</file>